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C8C" w:rsidRPr="00C956C6" w:rsidRDefault="00D02A51" w:rsidP="00C956C6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C956C6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Response 1</w:t>
      </w:r>
    </w:p>
    <w:p w:rsidR="00045C8C" w:rsidRPr="00C956C6" w:rsidRDefault="00D02A51" w:rsidP="00C956C6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C956C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 absolutely agree with </w:t>
      </w:r>
      <w:proofErr w:type="gramStart"/>
      <w:r w:rsidRPr="00C956C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this</w:t>
      </w:r>
      <w:proofErr w:type="gramEnd"/>
      <w:r w:rsidRPr="00C956C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post that how one treats asthma can be based on the patient</w:t>
      </w:r>
      <w:r w:rsidR="005A7410" w:rsidRPr="00C956C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's symptoms. The purposes of assessing and monitoring patient's symptoms are c</w:t>
      </w:r>
      <w:bookmarkStart w:id="0" w:name="_GoBack"/>
      <w:bookmarkEnd w:id="0"/>
      <w:r w:rsidR="005A7410" w:rsidRPr="00C956C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losely related to the severity and responsiveness to control and cure/treatment. In most cases, severity is determined directly in the patient(s) without getting </w:t>
      </w:r>
      <w:r w:rsidR="00C956C6" w:rsidRPr="00C956C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long-term</w:t>
      </w:r>
      <w:r w:rsidR="005A7410" w:rsidRPr="00C956C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treatme</w:t>
      </w:r>
      <w:r w:rsidR="00863F43" w:rsidRPr="00C956C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nt therapy. Monitoring SPO2 is a way of measuring the manifestation of asthma, and therefore the doctor can decide to change the medication being administered or not depending on the patient's well-being. Since asthma symptoms are not specific, their identification or diagnosis should not be upfront in any community setting.</w:t>
      </w:r>
    </w:p>
    <w:p w:rsidR="00C956C6" w:rsidRPr="00C956C6" w:rsidRDefault="00C956C6" w:rsidP="00C956C6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C956C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References</w:t>
      </w:r>
    </w:p>
    <w:p w:rsidR="00C956C6" w:rsidRPr="00C956C6" w:rsidRDefault="00C956C6" w:rsidP="00C956C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Gelʹfand</w:t>
      </w:r>
      <w:proofErr w:type="spellEnd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I. M., </w:t>
      </w:r>
      <w:proofErr w:type="spellStart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Minlos</w:t>
      </w:r>
      <w:proofErr w:type="spellEnd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A., &amp; Shapiro, Z. Y. (2018). </w:t>
      </w:r>
      <w:r w:rsidRPr="00C956C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Representations of the Rotation and Lorentz Groups and their Applications</w:t>
      </w:r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Courier Dover Publications.</w:t>
      </w:r>
    </w:p>
    <w:p w:rsidR="00C956C6" w:rsidRPr="00C956C6" w:rsidRDefault="00C956C6" w:rsidP="00C956C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Silkoff</w:t>
      </w:r>
      <w:proofErr w:type="spellEnd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P. E., </w:t>
      </w:r>
      <w:proofErr w:type="spellStart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Strambu</w:t>
      </w:r>
      <w:proofErr w:type="spellEnd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I., </w:t>
      </w:r>
      <w:proofErr w:type="spellStart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Laviolette</w:t>
      </w:r>
      <w:proofErr w:type="spellEnd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M., Singh, D., FitzGerald, J. M., Lam, S</w:t>
      </w:r>
      <w:proofErr w:type="gramStart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...</w:t>
      </w:r>
      <w:proofErr w:type="gramEnd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Porsbjerg</w:t>
      </w:r>
      <w:proofErr w:type="spellEnd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 (2015). Asthma characteristics and biomarkers from the Airways Disease </w:t>
      </w:r>
      <w:proofErr w:type="spellStart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Endotyping</w:t>
      </w:r>
      <w:proofErr w:type="spellEnd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Personalized Therapeutics (ADEPT) longitudinal profiling study. </w:t>
      </w:r>
      <w:r w:rsidRPr="00C956C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Respiratory research</w:t>
      </w:r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956C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</w:t>
      </w:r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142.</w:t>
      </w:r>
    </w:p>
    <w:p w:rsidR="00C956C6" w:rsidRPr="00C956C6" w:rsidRDefault="00C956C6" w:rsidP="00C956C6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C956C6" w:rsidRPr="00C956C6" w:rsidRDefault="00C956C6" w:rsidP="00C956C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56C6" w:rsidRPr="00C956C6" w:rsidRDefault="00C956C6" w:rsidP="00C956C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56C6" w:rsidRPr="00C956C6" w:rsidRDefault="00C956C6" w:rsidP="00C956C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56C6" w:rsidRPr="00C956C6" w:rsidRDefault="00C956C6" w:rsidP="00C956C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DA4" w:rsidRPr="00C956C6" w:rsidRDefault="00D02A51" w:rsidP="00C956C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6C6">
        <w:rPr>
          <w:rFonts w:ascii="Times New Roman" w:hAnsi="Times New Roman" w:cs="Times New Roman"/>
          <w:b/>
          <w:sz w:val="24"/>
          <w:szCs w:val="24"/>
        </w:rPr>
        <w:lastRenderedPageBreak/>
        <w:t>Response 2</w:t>
      </w:r>
    </w:p>
    <w:p w:rsidR="00863F43" w:rsidRPr="00C956C6" w:rsidRDefault="00D02A51" w:rsidP="00C95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56C6">
        <w:rPr>
          <w:rFonts w:ascii="Times New Roman" w:hAnsi="Times New Roman" w:cs="Times New Roman"/>
          <w:sz w:val="24"/>
          <w:szCs w:val="24"/>
        </w:rPr>
        <w:t xml:space="preserve">I believe diagnosing an individual as suffering from asthma is primary or rather first in minimizing the impairment in life quality, functional limitations, and risks associated with adverse events of </w:t>
      </w:r>
      <w:r w:rsidR="00230EFD" w:rsidRPr="00C956C6">
        <w:rPr>
          <w:rFonts w:ascii="Times New Roman" w:hAnsi="Times New Roman" w:cs="Times New Roman"/>
          <w:sz w:val="24"/>
          <w:szCs w:val="24"/>
        </w:rPr>
        <w:t xml:space="preserve">asthma. The end goal and objective of assessment and control are to see the patient been alive with no manifestations of asthma. Meanwhile, I also understand that conducting a physical evaluation of the disease will allow doctors to estimate the mode and intensity of treatment to be administered. Approachability to asthma treatment and management is variable; thus, to </w:t>
      </w:r>
      <w:r w:rsidR="00DA6B76" w:rsidRPr="00C956C6">
        <w:rPr>
          <w:rFonts w:ascii="Times New Roman" w:hAnsi="Times New Roman" w:cs="Times New Roman"/>
          <w:sz w:val="24"/>
          <w:szCs w:val="24"/>
        </w:rPr>
        <w:t>realize the therapy goals, I recommend follow-up assessment and treatment to be adjusted accordingly.</w:t>
      </w:r>
    </w:p>
    <w:p w:rsidR="00D57D6A" w:rsidRPr="00C956C6" w:rsidRDefault="00D57D6A" w:rsidP="00C95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7D6A" w:rsidRPr="00C956C6" w:rsidRDefault="00D57D6A" w:rsidP="00C95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57D6A" w:rsidRPr="00C956C6" w:rsidRDefault="00D57D6A" w:rsidP="00C956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956C6">
        <w:rPr>
          <w:rFonts w:ascii="Times New Roman" w:hAnsi="Times New Roman" w:cs="Times New Roman"/>
          <w:sz w:val="24"/>
          <w:szCs w:val="24"/>
        </w:rPr>
        <w:t>References</w:t>
      </w:r>
    </w:p>
    <w:p w:rsidR="00C956C6" w:rsidRPr="00C956C6" w:rsidRDefault="00C956C6" w:rsidP="00C956C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Bush, A. (2019). Pathophysiological mechanisms of asthma. </w:t>
      </w:r>
      <w:r w:rsidRPr="00C956C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Frontiers in pediatrics</w:t>
      </w:r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956C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68.</w:t>
      </w:r>
    </w:p>
    <w:p w:rsidR="00C956C6" w:rsidRPr="00C956C6" w:rsidRDefault="00C956C6" w:rsidP="00C956C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Volkow</w:t>
      </w:r>
      <w:proofErr w:type="spellEnd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 D., Han, B., Compton, W. M., &amp; </w:t>
      </w:r>
      <w:proofErr w:type="spellStart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McCance</w:t>
      </w:r>
      <w:proofErr w:type="spellEnd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-Katz, E. F. (2019). Self-reported medical and nonmedical cannabis use among pregnant women in the United States. </w:t>
      </w:r>
      <w:proofErr w:type="spellStart"/>
      <w:r w:rsidRPr="00C956C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Jama</w:t>
      </w:r>
      <w:proofErr w:type="spellEnd"/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956C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322</w:t>
      </w:r>
      <w:r w:rsidRPr="00C956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167-169.</w:t>
      </w:r>
    </w:p>
    <w:p w:rsidR="00ED4D24" w:rsidRPr="00C956C6" w:rsidRDefault="00ED4D24" w:rsidP="00C95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D4D24" w:rsidRPr="00C956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C8C"/>
    <w:rsid w:val="00045C8C"/>
    <w:rsid w:val="00230EFD"/>
    <w:rsid w:val="005A7410"/>
    <w:rsid w:val="007C2DA4"/>
    <w:rsid w:val="00863F43"/>
    <w:rsid w:val="00C956C6"/>
    <w:rsid w:val="00D02A51"/>
    <w:rsid w:val="00D57D6A"/>
    <w:rsid w:val="00DA6B76"/>
    <w:rsid w:val="00ED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7E7F9"/>
  <w15:chartTrackingRefBased/>
  <w15:docId w15:val="{008B6A0C-DDBB-4479-816D-DCD000764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2020-08-17T23:23:00Z</dcterms:created>
  <dcterms:modified xsi:type="dcterms:W3CDTF">2020-08-17T23:23:00Z</dcterms:modified>
</cp:coreProperties>
</file>